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1512000" cy="2983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word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2983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160" w:after="40"/>
      </w:pPr>
      <w:r>
        <w:rPr>
          <w:rFonts w:ascii="Arial" w:hAnsi="Arial"/>
          <w:b/>
          <w:color w:val="47676B"/>
          <w:sz w:val="16"/>
          <w:spacing w:val="30"/>
        </w:rPr>
        <w:t>CHECKLISTE BEI TRENNUNG &amp; SCHEIDUNG</w:t>
      </w:r>
    </w:p>
    <w:p>
      <w:pPr>
        <w:spacing w:before="0" w:after="40"/>
      </w:pPr>
      <w:r>
        <w:rPr>
          <w:rFonts w:ascii="Arial" w:hAnsi="Arial"/>
          <w:b/>
          <w:color w:val="232F2F"/>
          <w:sz w:val="33"/>
        </w:rPr>
        <w:t>Die gemeinsame Immobilie regeln</w:t>
      </w:r>
    </w:p>
    <w:p>
      <w:pPr>
        <w:spacing w:before="0" w:after="160"/>
        <w:pBdr>
          <w:bottom w:val="single" w:sz="18" w:color="2E4A4D" w:space="4"/>
        </w:pBdr>
      </w:pPr>
      <w:r>
        <w:rPr>
          <w:rFonts w:ascii="Arial" w:hAnsi="Arial"/>
          <w:b w:val="0"/>
          <w:color w:val="4E5A58"/>
          <w:sz w:val="19"/>
        </w:rPr>
        <w:t>Überblick verschaffen, Optionen durchrechnen, sauber umsetzen – alle Schritte in der richtigen Reihenfolge.</w:t>
      </w:r>
    </w:p>
    <w:p>
      <w:pPr>
        <w:spacing w:before="240" w:after="12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1 </w:t>
      </w:r>
      <w:r>
        <w:rPr>
          <w:rFonts w:ascii="Arial" w:hAnsi="Arial"/>
          <w:b/>
          <w:color w:val="232F2F"/>
          <w:sz w:val="23"/>
        </w:rPr>
        <w:t xml:space="preserve">   Überblick verschaffen</w:t>
      </w:r>
    </w:p>
    <w:tbl>
      <w:tblPr>
        <w:tblW w:type="dxa" w:w="9638"/>
        <w:tblLayout w:type="fixed"/>
        <w:tblCellMar>
          <w:top w:w="44" w:type="dxa"/>
          <w:bottom w:w="44" w:type="dxa"/>
          <w:left w:w="40" w:type="dxa"/>
          <w:right w:w="40" w:type="dxa"/>
        </w:tblCellMar>
        <w:tblLook w:firstColumn="1" w:firstRow="1" w:lastColumn="0" w:lastRow="0" w:noHBand="0" w:noVBand="1" w:val="04A0"/>
      </w:tblPr>
      <w:tblGrid>
        <w:gridCol w:w="8278"/>
        <w:gridCol w:w="1360"/>
      </w:tblGrid>
      <w:tr>
        <w:tc>
          <w:tcPr>
            <w:tcW w:type="dxa" w:w="8277"/>
          </w:tcPr>
          <w:p/>
        </w:tc>
        <w:tc>
          <w:tcPr>
            <w:tcW w:type="dxa" w:w="1361"/>
          </w:tcPr>
          <w:p>
            <w:pPr>
              <w:jc w:val="center"/>
            </w:pPr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ERLEDIGT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Grundbuch prüfen: Wer ist als Eigentümer eingetragen?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Kreditverträge und aktuelle Restschuld bei der Bank erfragen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Monatliche Kosten auflisten (Rate, Nebenkosten, Rücklagen)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Kostenlose Marktpreiseinschätzung einholen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Übergangsregelung treffen: Wer wohnt vorerst, wer zahlt was?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</w:tbl>
    <w:p>
      <w:pPr>
        <w:spacing w:before="240" w:after="12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2 </w:t>
      </w:r>
      <w:r>
        <w:rPr>
          <w:rFonts w:ascii="Arial" w:hAnsi="Arial"/>
          <w:b/>
          <w:color w:val="232F2F"/>
          <w:sz w:val="23"/>
        </w:rPr>
        <w:t xml:space="preserve">   Optionen durchrechnen</w:t>
      </w:r>
    </w:p>
    <w:tbl>
      <w:tblPr>
        <w:tblW w:type="dxa" w:w="9638"/>
        <w:tblLayout w:type="fixed"/>
        <w:tblCellMar>
          <w:top w:w="44" w:type="dxa"/>
          <w:bottom w:w="44" w:type="dxa"/>
          <w:left w:w="40" w:type="dxa"/>
          <w:right w:w="40" w:type="dxa"/>
        </w:tblCellMar>
        <w:tblLook w:firstColumn="1" w:firstRow="1" w:lastColumn="0" w:lastRow="0" w:noHBand="0" w:noVBand="1" w:val="04A0"/>
      </w:tblPr>
      <w:tblGrid>
        <w:gridCol w:w="8278"/>
        <w:gridCol w:w="1360"/>
      </w:tblGrid>
      <w:tr>
        <w:tc>
          <w:tcPr>
            <w:tcW w:type="dxa" w:w="8277"/>
          </w:tcPr>
          <w:p/>
        </w:tc>
        <w:tc>
          <w:tcPr>
            <w:tcW w:type="dxa" w:w="1361"/>
          </w:tcPr>
          <w:p>
            <w:pPr>
              <w:jc w:val="center"/>
            </w:pPr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ERLEDIGT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Verkauf und Aufteilung des Erlöses durchrechnen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Übernahme durch eine/n Partner/in prüfen (Auszahlung; die Bank muss zustimmen)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Vermietung als Zwischenlösung bewerten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Teilungsversteigerung als teuersten Weg möglichst vermeiden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</w:tbl>
    <w:p>
      <w:pPr>
        <w:spacing w:before="240" w:after="12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3 </w:t>
      </w:r>
      <w:r>
        <w:rPr>
          <w:rFonts w:ascii="Arial" w:hAnsi="Arial"/>
          <w:b/>
          <w:color w:val="232F2F"/>
          <w:sz w:val="23"/>
        </w:rPr>
        <w:t xml:space="preserve">   Finanzen &amp; Verträge ordnen</w:t>
      </w:r>
    </w:p>
    <w:tbl>
      <w:tblPr>
        <w:tblW w:type="dxa" w:w="9638"/>
        <w:tblLayout w:type="fixed"/>
        <w:tblCellMar>
          <w:top w:w="44" w:type="dxa"/>
          <w:bottom w:w="44" w:type="dxa"/>
          <w:left w:w="40" w:type="dxa"/>
          <w:right w:w="40" w:type="dxa"/>
        </w:tblCellMar>
        <w:tblLook w:firstColumn="1" w:firstRow="1" w:lastColumn="0" w:lastRow="0" w:noHBand="0" w:noVBand="1" w:val="04A0"/>
      </w:tblPr>
      <w:tblGrid>
        <w:gridCol w:w="8278"/>
        <w:gridCol w:w="1360"/>
      </w:tblGrid>
      <w:tr>
        <w:tc>
          <w:tcPr>
            <w:tcW w:type="dxa" w:w="8277"/>
          </w:tcPr>
          <w:p/>
        </w:tc>
        <w:tc>
          <w:tcPr>
            <w:tcW w:type="dxa" w:w="1361"/>
          </w:tcPr>
          <w:p>
            <w:pPr>
              <w:jc w:val="center"/>
            </w:pPr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ERLEDIGT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Gespräch mit der Bank führen (Umschuldung, Haftungsentlassung, Vorfälligkeit)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Versicherungen prüfen und umstellen (Gebäude, Hausrat, Haftpflicht)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Zähler und Versorgerverträge auf den verbleibenden Nutzer umstellen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Getroffene Vereinbarungen schriftlich festhalten – im Zweifel notariell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</w:tbl>
    <w:p>
      <w:pPr>
        <w:spacing w:before="240" w:after="12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4 </w:t>
      </w:r>
      <w:r>
        <w:rPr>
          <w:rFonts w:ascii="Arial" w:hAnsi="Arial"/>
          <w:b/>
          <w:color w:val="232F2F"/>
          <w:sz w:val="23"/>
        </w:rPr>
        <w:t xml:space="preserve">   Bei Verkauf</w:t>
      </w:r>
    </w:p>
    <w:tbl>
      <w:tblPr>
        <w:tblW w:type="dxa" w:w="9638"/>
        <w:tblLayout w:type="fixed"/>
        <w:tblCellMar>
          <w:top w:w="44" w:type="dxa"/>
          <w:bottom w:w="44" w:type="dxa"/>
          <w:left w:w="40" w:type="dxa"/>
          <w:right w:w="40" w:type="dxa"/>
        </w:tblCellMar>
        <w:tblLook w:firstColumn="1" w:firstRow="1" w:lastColumn="0" w:lastRow="0" w:noHBand="0" w:noVBand="1" w:val="04A0"/>
      </w:tblPr>
      <w:tblGrid>
        <w:gridCol w:w="8278"/>
        <w:gridCol w:w="1360"/>
      </w:tblGrid>
      <w:tr>
        <w:tc>
          <w:tcPr>
            <w:tcW w:type="dxa" w:w="8277"/>
          </w:tcPr>
          <w:p/>
        </w:tc>
        <w:tc>
          <w:tcPr>
            <w:tcW w:type="dxa" w:w="1361"/>
          </w:tcPr>
          <w:p>
            <w:pPr>
              <w:jc w:val="center"/>
            </w:pPr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ERLEDIGT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Unterlagen zusammenstellen (Checkliste „Unterlagen Hausverkauf“)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Gemeinsames Vorgehen bzw. Vollmachten für den Verkauf klären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Realistischen Zeitplan mit Puffer aufstellen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Mit dem „Fahrplan Immobilienverkauf“ starten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</w:tbl>
    <w:sectPr w:rsidR="00FC693F" w:rsidRPr="0006063C" w:rsidSect="00034616">
      <w:footerReference w:type="default" r:id="rId10"/>
      <w:pgSz w:w="11906" w:h="16838"/>
      <w:pgMar w:top="737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dxa" w:w="9638"/>
      <w:tblLayout w:type="fixed"/>
      <w:tblCellMar>
        <w:top w:w="60" w:type="dxa"/>
        <w:bottom w:w="60" w:type="dxa"/>
        <w:left w:w="80" w:type="dxa"/>
        <w:right w:w="80" w:type="dxa"/>
      </w:tblCellMar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4819"/>
          <w:shd w:val="clear" w:fill="EFF1EF"/>
        </w:tcPr>
        <w:p>
          <w:r>
            <w:rPr>
              <w:rFonts w:ascii="Arial" w:hAnsi="Arial"/>
              <w:b/>
              <w:color w:val="232F2F"/>
              <w:sz w:val="17"/>
            </w:rPr>
            <w:t>Giesbrecht Immobilien GmbH</w:t>
          </w:r>
          <w:r>
            <w:rPr>
              <w:rFonts w:ascii="Arial" w:hAnsi="Arial"/>
              <w:b w:val="0"/>
              <w:color w:val="4E5A58"/>
              <w:sz w:val="14"/>
            </w:rPr>
            <w:br/>
            <w:t>Ihr Immobilienmakler in Hamm</w:t>
          </w:r>
        </w:p>
      </w:tc>
      <w:tc>
        <w:tcPr>
          <w:tcW w:type="dxa" w:w="4819"/>
          <w:shd w:val="clear" w:fill="EFF1EF"/>
        </w:tcPr>
        <w:p>
          <w:pPr>
            <w:jc w:val="right"/>
          </w:pPr>
          <w:r>
            <w:rPr>
              <w:rFonts w:ascii="Arial" w:hAnsi="Arial"/>
              <w:b w:val="0"/>
              <w:color w:val="232F2F"/>
              <w:sz w:val="16"/>
            </w:rPr>
            <w:t>Münsterstraße 5 · 59065 Hamm</w:t>
          </w:r>
          <w:r>
            <w:rPr>
              <w:rFonts w:ascii="Arial" w:hAnsi="Arial"/>
              <w:b w:val="0"/>
              <w:color w:val="4E5A58"/>
              <w:sz w:val="14"/>
            </w:rPr>
            <w:br/>
            <w:t>Tel: 02381 5417520 · info@giesbrecht-immo.de · giesbrecht-immo.de</w:t>
          </w:r>
        </w:p>
      </w:tc>
    </w:tr>
  </w:tbl>
  <w:p>
    <w:pPr>
      <w:spacing w:before="60"/>
      <w:jc w:val="center"/>
    </w:pPr>
    <w:r>
      <w:rPr>
        <w:rFonts w:ascii="Arial" w:hAnsi="Arial"/>
        <w:b w:val="0"/>
        <w:color w:val="4E5A58"/>
        <w:sz w:val="13"/>
      </w:rPr>
      <w:t>© 2026 Giesbrecht Immobilien GmbH · Alle Rechte vorbehalten.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Arial" w:hAnsi="Arial"/>
      <w:color w:val="232F2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Immobilie bei Trennung &amp; Scheidung – Checkliste</dc:title>
  <dc:subject/>
  <dc:creator>Christian Giesbrecht — Giesbrecht Immobilien GmbH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